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6" w:rsidRDefault="00220CE6"/>
    <w:p w:rsidR="00220CE6" w:rsidRPr="00220CE6" w:rsidRDefault="00220CE6" w:rsidP="00220CE6">
      <w:pPr>
        <w:rPr>
          <w:sz w:val="24"/>
          <w:szCs w:val="24"/>
        </w:rPr>
      </w:pPr>
    </w:p>
    <w:p w:rsidR="009C214A" w:rsidRPr="00C361F8" w:rsidRDefault="009C214A" w:rsidP="008B1619">
      <w:pPr>
        <w:pStyle w:val="ListeParagraf"/>
        <w:tabs>
          <w:tab w:val="left" w:pos="0"/>
        </w:tabs>
        <w:autoSpaceDE w:val="0"/>
        <w:autoSpaceDN w:val="0"/>
        <w:ind w:left="0"/>
        <w:jc w:val="both"/>
        <w:rPr>
          <w:rFonts w:eastAsiaTheme="minorHAnsi"/>
          <w:color w:val="000000"/>
          <w:sz w:val="24"/>
          <w:szCs w:val="24"/>
        </w:rPr>
      </w:pPr>
      <w:r w:rsidRPr="00C361F8">
        <w:rPr>
          <w:rFonts w:eastAsiaTheme="minorHAnsi"/>
          <w:color w:val="000000"/>
          <w:sz w:val="24"/>
          <w:szCs w:val="24"/>
        </w:rPr>
        <w:t xml:space="preserve">Yük asansörleri, dikey olarak yük taşıma amacıyla kullanılan kaldırma araçlarıdır. Fabrika, depo veya otoparklarda kullanılmak üzere tesis edilmiş yük asansörleri ağır ortam şartlarında başarıyla çalışırlar. Yük asansörleri hidrolik veya elektrik tahrikli olarak imal edilirler. </w:t>
      </w:r>
    </w:p>
    <w:p w:rsidR="00C361F8" w:rsidRPr="009C214A" w:rsidRDefault="00C361F8" w:rsidP="008B1619">
      <w:pPr>
        <w:pStyle w:val="ListeParagraf"/>
        <w:tabs>
          <w:tab w:val="left" w:pos="426"/>
        </w:tabs>
        <w:autoSpaceDE w:val="0"/>
        <w:autoSpaceDN w:val="0"/>
        <w:ind w:left="426" w:hanging="426"/>
        <w:jc w:val="both"/>
        <w:rPr>
          <w:rFonts w:eastAsiaTheme="minorHAnsi"/>
          <w:color w:val="000000"/>
          <w:sz w:val="28"/>
          <w:szCs w:val="28"/>
        </w:rPr>
      </w:pPr>
    </w:p>
    <w:p w:rsidR="009C214A" w:rsidRPr="00C361F8" w:rsidRDefault="009C214A" w:rsidP="008B1619">
      <w:pPr>
        <w:pStyle w:val="ListeParagraf"/>
        <w:widowControl/>
        <w:numPr>
          <w:ilvl w:val="0"/>
          <w:numId w:val="1"/>
        </w:numPr>
        <w:tabs>
          <w:tab w:val="left" w:pos="426"/>
        </w:tabs>
        <w:autoSpaceDE w:val="0"/>
        <w:autoSpaceDN w:val="0"/>
        <w:spacing w:after="264"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Yük kaldırma kapasitelerinin üzerinde kaldırma yapılmamalıdır. </w:t>
      </w:r>
    </w:p>
    <w:p w:rsidR="009C214A" w:rsidRPr="00C361F8" w:rsidRDefault="009C214A" w:rsidP="008B1619">
      <w:pPr>
        <w:pStyle w:val="ListeParagraf"/>
        <w:widowControl/>
        <w:numPr>
          <w:ilvl w:val="0"/>
          <w:numId w:val="1"/>
        </w:numPr>
        <w:tabs>
          <w:tab w:val="left" w:pos="426"/>
        </w:tabs>
        <w:autoSpaceDE w:val="0"/>
        <w:autoSpaceDN w:val="0"/>
        <w:spacing w:after="264"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İnsan taşıması kesinlikle yapılmamalıdır. </w:t>
      </w:r>
    </w:p>
    <w:p w:rsidR="009C214A" w:rsidRPr="00C361F8" w:rsidRDefault="009C214A" w:rsidP="008B1619">
      <w:pPr>
        <w:pStyle w:val="ListeParagraf"/>
        <w:widowControl/>
        <w:numPr>
          <w:ilvl w:val="0"/>
          <w:numId w:val="1"/>
        </w:numPr>
        <w:tabs>
          <w:tab w:val="left" w:pos="426"/>
        </w:tabs>
        <w:autoSpaceDE w:val="0"/>
        <w:autoSpaceDN w:val="0"/>
        <w:spacing w:after="264"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Yüklemeler dengeli olmalı, kabin hareket halinde iken bu yüklerin kaymaması ve devrilmemesi için önlem alınmalıdır. </w:t>
      </w:r>
    </w:p>
    <w:p w:rsidR="009C214A" w:rsidRPr="00C361F8" w:rsidRDefault="009C214A" w:rsidP="008B1619">
      <w:pPr>
        <w:pStyle w:val="ListeParagraf"/>
        <w:widowControl/>
        <w:numPr>
          <w:ilvl w:val="0"/>
          <w:numId w:val="1"/>
        </w:numPr>
        <w:tabs>
          <w:tab w:val="left" w:pos="426"/>
        </w:tabs>
        <w:autoSpaceDE w:val="0"/>
        <w:autoSpaceDN w:val="0"/>
        <w:spacing w:after="264"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Asansörün voltaj kontrolleri her gün yapılmalıdır. </w:t>
      </w:r>
    </w:p>
    <w:p w:rsidR="009C214A" w:rsidRPr="00C361F8" w:rsidRDefault="009C214A" w:rsidP="008B1619">
      <w:pPr>
        <w:pStyle w:val="ListeParagraf"/>
        <w:widowControl/>
        <w:numPr>
          <w:ilvl w:val="0"/>
          <w:numId w:val="1"/>
        </w:numPr>
        <w:tabs>
          <w:tab w:val="left" w:pos="426"/>
        </w:tabs>
        <w:autoSpaceDE w:val="0"/>
        <w:autoSpaceDN w:val="0"/>
        <w:spacing w:after="264"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Asansör boş ve maksimum yükte çalışırken güvenlik cihazlarının çalışmaları kontrol edilmelidir. </w:t>
      </w:r>
    </w:p>
    <w:p w:rsidR="009C214A" w:rsidRPr="00C361F8" w:rsidRDefault="009C214A" w:rsidP="008B1619">
      <w:pPr>
        <w:pStyle w:val="ListeParagraf"/>
        <w:widowControl/>
        <w:numPr>
          <w:ilvl w:val="0"/>
          <w:numId w:val="1"/>
        </w:numPr>
        <w:tabs>
          <w:tab w:val="left" w:pos="426"/>
        </w:tabs>
        <w:autoSpaceDE w:val="0"/>
        <w:autoSpaceDN w:val="0"/>
        <w:spacing w:after="265" w:line="276" w:lineRule="auto"/>
        <w:ind w:left="426" w:hanging="426"/>
        <w:jc w:val="both"/>
        <w:textAlignment w:val="auto"/>
        <w:rPr>
          <w:rFonts w:eastAsiaTheme="minorHAnsi"/>
          <w:color w:val="000000"/>
          <w:sz w:val="24"/>
          <w:szCs w:val="24"/>
        </w:rPr>
      </w:pPr>
      <w:bookmarkStart w:id="0" w:name="_GoBack"/>
      <w:r w:rsidRPr="00C361F8">
        <w:rPr>
          <w:rFonts w:eastAsiaTheme="minorHAnsi"/>
          <w:color w:val="000000"/>
          <w:sz w:val="24"/>
          <w:szCs w:val="24"/>
        </w:rPr>
        <w:t xml:space="preserve">Kuyu boşluğu devamlı temiz tutulmalı, sigara izmariti, kibrit, kâğıt vs. gibi yanıcı ve yakıcı malzemeler atılmamalıdır. </w:t>
      </w:r>
    </w:p>
    <w:bookmarkEnd w:id="0"/>
    <w:p w:rsidR="009C214A" w:rsidRPr="00C361F8" w:rsidRDefault="009C214A" w:rsidP="008B1619">
      <w:pPr>
        <w:pStyle w:val="ListeParagraf"/>
        <w:widowControl/>
        <w:numPr>
          <w:ilvl w:val="0"/>
          <w:numId w:val="1"/>
        </w:numPr>
        <w:tabs>
          <w:tab w:val="left" w:pos="426"/>
        </w:tabs>
        <w:autoSpaceDE w:val="0"/>
        <w:autoSpaceDN w:val="0"/>
        <w:spacing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Asansör kullanma talimatları görünür bir yerde asılı olmalıdır. </w:t>
      </w:r>
    </w:p>
    <w:p w:rsidR="009C214A" w:rsidRPr="00C361F8" w:rsidRDefault="009C214A" w:rsidP="008B1619">
      <w:pPr>
        <w:pStyle w:val="ListeParagraf"/>
        <w:widowControl/>
        <w:numPr>
          <w:ilvl w:val="0"/>
          <w:numId w:val="1"/>
        </w:numPr>
        <w:tabs>
          <w:tab w:val="left" w:pos="426"/>
        </w:tabs>
        <w:autoSpaceDE w:val="0"/>
        <w:autoSpaceDN w:val="0"/>
        <w:spacing w:after="269"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Tehlike anında stop (dur) butonuna basılmalı ve gereksiz kullanımı önlenmelidir. </w:t>
      </w:r>
    </w:p>
    <w:p w:rsidR="009C214A" w:rsidRPr="00C361F8" w:rsidRDefault="009C214A" w:rsidP="008B1619">
      <w:pPr>
        <w:pStyle w:val="ListeParagraf"/>
        <w:widowControl/>
        <w:numPr>
          <w:ilvl w:val="0"/>
          <w:numId w:val="1"/>
        </w:numPr>
        <w:tabs>
          <w:tab w:val="left" w:pos="426"/>
        </w:tabs>
        <w:autoSpaceDE w:val="0"/>
        <w:autoSpaceDN w:val="0"/>
        <w:spacing w:after="269"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Yükleme-boşaltma esnasında kabin ile kat aynı seviyede olmalıdır. </w:t>
      </w:r>
    </w:p>
    <w:p w:rsidR="009C214A" w:rsidRPr="00C361F8" w:rsidRDefault="009C214A" w:rsidP="008B1619">
      <w:pPr>
        <w:pStyle w:val="ListeParagraf"/>
        <w:widowControl/>
        <w:numPr>
          <w:ilvl w:val="0"/>
          <w:numId w:val="1"/>
        </w:numPr>
        <w:tabs>
          <w:tab w:val="left" w:pos="426"/>
        </w:tabs>
        <w:autoSpaceDE w:val="0"/>
        <w:autoSpaceDN w:val="0"/>
        <w:spacing w:after="269"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İniş-çıkış gösterge lambaları, kat pozisyon lambaları, kabin içi aydınlatma lambalarının devamlı olarak kontrolü yapılmalıdır. </w:t>
      </w:r>
    </w:p>
    <w:p w:rsidR="009C214A" w:rsidRPr="00C361F8" w:rsidRDefault="009C214A" w:rsidP="008B1619">
      <w:pPr>
        <w:pStyle w:val="ListeParagraf"/>
        <w:widowControl/>
        <w:numPr>
          <w:ilvl w:val="0"/>
          <w:numId w:val="1"/>
        </w:numPr>
        <w:tabs>
          <w:tab w:val="left" w:pos="426"/>
        </w:tabs>
        <w:autoSpaceDE w:val="0"/>
        <w:autoSpaceDN w:val="0"/>
        <w:spacing w:after="269"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Yük asansörlerinde aşırı yük uyarı ışığı bulunmalıdır. Kabine asansörün kapasitesinin üzerinde yük atılması durumunda bu ışık uyarı verecek ayrıca sesli ikaz olacaktır. </w:t>
      </w:r>
    </w:p>
    <w:p w:rsidR="009C214A" w:rsidRPr="00C361F8" w:rsidRDefault="009C214A" w:rsidP="008B1619">
      <w:pPr>
        <w:pStyle w:val="ListeParagraf"/>
        <w:widowControl/>
        <w:numPr>
          <w:ilvl w:val="0"/>
          <w:numId w:val="1"/>
        </w:numPr>
        <w:tabs>
          <w:tab w:val="left" w:pos="426"/>
        </w:tabs>
        <w:autoSpaceDE w:val="0"/>
        <w:autoSpaceDN w:val="0"/>
        <w:spacing w:after="269"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Asansörün sabit ve hareketli bölümlerinde bulunan elektrik enerjisi iletiminde kullanılmayan bütün iletken malzeme kaçak akım rölesi üzerinden topraklanmalıdır. </w:t>
      </w:r>
    </w:p>
    <w:p w:rsidR="009C214A" w:rsidRPr="00C361F8" w:rsidRDefault="009C214A" w:rsidP="008B1619">
      <w:pPr>
        <w:pStyle w:val="ListeParagraf"/>
        <w:widowControl/>
        <w:numPr>
          <w:ilvl w:val="0"/>
          <w:numId w:val="1"/>
        </w:numPr>
        <w:tabs>
          <w:tab w:val="left" w:pos="426"/>
        </w:tabs>
        <w:autoSpaceDE w:val="0"/>
        <w:autoSpaceDN w:val="0"/>
        <w:spacing w:after="269"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Hidrolik yük asansörlerinde hidrolik sistemlerin kontrolleri düzenli olarak kontrol edilmeli, hortumlarda kaçak, sızıntı vs. olup-olunmadığına dikkat edilmelidir. </w:t>
      </w:r>
    </w:p>
    <w:p w:rsidR="009C214A" w:rsidRPr="00C361F8" w:rsidRDefault="009C214A" w:rsidP="008B1619">
      <w:pPr>
        <w:pStyle w:val="ListeParagraf"/>
        <w:widowControl/>
        <w:numPr>
          <w:ilvl w:val="0"/>
          <w:numId w:val="1"/>
        </w:numPr>
        <w:tabs>
          <w:tab w:val="left" w:pos="426"/>
        </w:tabs>
        <w:autoSpaceDE w:val="0"/>
        <w:autoSpaceDN w:val="0"/>
        <w:spacing w:line="276" w:lineRule="auto"/>
        <w:ind w:left="426" w:hanging="426"/>
        <w:jc w:val="both"/>
        <w:textAlignment w:val="auto"/>
        <w:rPr>
          <w:rFonts w:eastAsiaTheme="minorHAnsi"/>
          <w:color w:val="000000"/>
          <w:sz w:val="24"/>
          <w:szCs w:val="24"/>
        </w:rPr>
      </w:pPr>
      <w:r w:rsidRPr="00C361F8">
        <w:rPr>
          <w:rFonts w:eastAsiaTheme="minorHAnsi"/>
          <w:color w:val="000000"/>
          <w:sz w:val="24"/>
          <w:szCs w:val="24"/>
        </w:rPr>
        <w:t xml:space="preserve">Kaldırma araç ve </w:t>
      </w:r>
      <w:proofErr w:type="gramStart"/>
      <w:r w:rsidRPr="00C361F8">
        <w:rPr>
          <w:rFonts w:eastAsiaTheme="minorHAnsi"/>
          <w:color w:val="000000"/>
          <w:sz w:val="24"/>
          <w:szCs w:val="24"/>
        </w:rPr>
        <w:t>ekipmanları</w:t>
      </w:r>
      <w:proofErr w:type="gramEnd"/>
      <w:r w:rsidRPr="00C361F8">
        <w:rPr>
          <w:rFonts w:eastAsiaTheme="minorHAnsi"/>
          <w:color w:val="000000"/>
          <w:sz w:val="24"/>
          <w:szCs w:val="24"/>
        </w:rPr>
        <w:t xml:space="preserve"> ile yapılan çalışmalarda kullanılan malzeme ve teçhizatlar da hiç kimsenin kazaya uğramaması ana düşünce olmalıdır. </w:t>
      </w:r>
    </w:p>
    <w:p w:rsidR="00220CE6" w:rsidRPr="00220CE6" w:rsidRDefault="00220CE6" w:rsidP="00220CE6">
      <w:pPr>
        <w:jc w:val="both"/>
        <w:rPr>
          <w:sz w:val="24"/>
          <w:szCs w:val="24"/>
        </w:rPr>
      </w:pPr>
    </w:p>
    <w:p w:rsidR="00322D0D" w:rsidRPr="00220CE6" w:rsidRDefault="00220CE6" w:rsidP="00220CE6">
      <w:r>
        <w:rPr>
          <w:noProof/>
        </w:rPr>
        <mc:AlternateContent>
          <mc:Choice Requires="wps">
            <w:drawing>
              <wp:anchor distT="0" distB="0" distL="114300" distR="114300" simplePos="0" relativeHeight="251659264" behindDoc="1" locked="0" layoutInCell="0" allowOverlap="1" wp14:editId="17652D27">
                <wp:simplePos x="0" y="0"/>
                <wp:positionH relativeFrom="page">
                  <wp:posOffset>5905500</wp:posOffset>
                </wp:positionH>
                <wp:positionV relativeFrom="page">
                  <wp:posOffset>7667625</wp:posOffset>
                </wp:positionV>
                <wp:extent cx="1298575" cy="2687320"/>
                <wp:effectExtent l="0" t="0" r="0" b="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687320"/>
                        </a:xfrm>
                        <a:prstGeom prst="rect">
                          <a:avLst/>
                        </a:prstGeom>
                        <a:noFill/>
                        <a:ln w="76200" cmpd="thickThin">
                          <a:noFill/>
                          <a:miter lim="800000"/>
                          <a:headEnd/>
                          <a:tailEnd/>
                        </a:ln>
                        <a:extLst/>
                      </wps:spPr>
                      <wps:txbx>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65pt;margin-top:603.75pt;width:102.25pt;height:2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mc:Fallback>
        </mc:AlternateContent>
      </w:r>
    </w:p>
    <w:sectPr w:rsidR="00322D0D" w:rsidRPr="00220CE6" w:rsidSect="00004539">
      <w:headerReference w:type="default" r:id="rId9"/>
      <w:footerReference w:type="default" r:id="rId10"/>
      <w:pgSz w:w="11906" w:h="16838"/>
      <w:pgMar w:top="1417"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76" w:rsidRDefault="00626F76" w:rsidP="00220CE6">
      <w:r>
        <w:separator/>
      </w:r>
    </w:p>
  </w:endnote>
  <w:endnote w:type="continuationSeparator" w:id="0">
    <w:p w:rsidR="00626F76" w:rsidRDefault="00626F76"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8C0461" w:rsidP="00004539">
    <w:pPr>
      <w:pStyle w:val="Altbilgi"/>
      <w:ind w:right="360" w:hanging="709"/>
    </w:pPr>
    <w:r>
      <w:t>Va</w:t>
    </w:r>
    <w:r w:rsidR="00004539">
      <w:t xml:space="preserve">n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76" w:rsidRDefault="00626F76" w:rsidP="00220CE6">
      <w:r>
        <w:separator/>
      </w:r>
    </w:p>
  </w:footnote>
  <w:footnote w:type="continuationSeparator" w:id="0">
    <w:p w:rsidR="00626F76" w:rsidRDefault="00626F76"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B45" w:rsidRDefault="00803B45">
    <w:pPr>
      <w:pStyle w:val="stbilgi"/>
    </w:pPr>
  </w:p>
  <w:p w:rsidR="00803B45" w:rsidRDefault="00803B45">
    <w:pPr>
      <w:pStyle w:val="stbilgi"/>
    </w:pPr>
  </w:p>
  <w:p w:rsidR="00803B45" w:rsidRDefault="00803B45">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127"/>
      <w:gridCol w:w="5245"/>
      <w:gridCol w:w="3402"/>
    </w:tblGrid>
    <w:tr w:rsidR="00803B45" w:rsidTr="000010C4">
      <w:tc>
        <w:tcPr>
          <w:tcW w:w="2127" w:type="dxa"/>
          <w:vMerge w:val="restart"/>
        </w:tcPr>
        <w:p w:rsidR="00803B45" w:rsidRDefault="00803B45" w:rsidP="000010C4">
          <w:pPr>
            <w:pStyle w:val="stbilgi"/>
          </w:pPr>
        </w:p>
      </w:tc>
      <w:tc>
        <w:tcPr>
          <w:tcW w:w="5245" w:type="dxa"/>
        </w:tcPr>
        <w:p w:rsidR="00803B45" w:rsidRDefault="00803B45" w:rsidP="000010C4">
          <w:pPr>
            <w:pStyle w:val="stbilgi"/>
            <w:jc w:val="center"/>
            <w:rPr>
              <w:b/>
            </w:rPr>
          </w:pPr>
        </w:p>
        <w:p w:rsidR="008C0461" w:rsidRDefault="008C0461" w:rsidP="008C0461">
          <w:pPr>
            <w:pStyle w:val="stbilgi"/>
            <w:jc w:val="center"/>
            <w:rPr>
              <w:b/>
              <w:sz w:val="24"/>
              <w:szCs w:val="24"/>
            </w:rPr>
          </w:pPr>
          <w:r>
            <w:rPr>
              <w:b/>
              <w:sz w:val="24"/>
              <w:szCs w:val="24"/>
            </w:rPr>
            <w:t>Van İl Milli Eğitim Müdürlüğü</w:t>
          </w:r>
        </w:p>
        <w:p w:rsidR="008C0461" w:rsidRDefault="008C0461" w:rsidP="008C0461">
          <w:pPr>
            <w:pStyle w:val="stbilgi"/>
            <w:jc w:val="center"/>
            <w:rPr>
              <w:b/>
              <w:sz w:val="24"/>
              <w:szCs w:val="24"/>
            </w:rPr>
          </w:pPr>
        </w:p>
        <w:p w:rsidR="00803B45" w:rsidRDefault="008C0461" w:rsidP="008C0461">
          <w:pPr>
            <w:pStyle w:val="stbilgi"/>
            <w:jc w:val="center"/>
          </w:pPr>
          <w:proofErr w:type="gramStart"/>
          <w:r>
            <w:rPr>
              <w:b/>
              <w:sz w:val="24"/>
              <w:szCs w:val="24"/>
            </w:rPr>
            <w:t>……………………..</w:t>
          </w:r>
          <w:proofErr w:type="gramEnd"/>
          <w:r>
            <w:rPr>
              <w:b/>
              <w:sz w:val="24"/>
              <w:szCs w:val="24"/>
            </w:rPr>
            <w:t>Okul/Kurum Müdürlüğü</w:t>
          </w:r>
        </w:p>
      </w:tc>
      <w:tc>
        <w:tcPr>
          <w:tcW w:w="3402" w:type="dxa"/>
          <w:vMerge w:val="restart"/>
        </w:tcPr>
        <w:p w:rsidR="00803B45" w:rsidRPr="00220CE6" w:rsidRDefault="00803B45" w:rsidP="000010C4">
          <w:pPr>
            <w:tabs>
              <w:tab w:val="left" w:pos="1243"/>
              <w:tab w:val="left" w:pos="1384"/>
              <w:tab w:val="left" w:pos="2329"/>
            </w:tabs>
            <w:rPr>
              <w:noProof/>
              <w:color w:val="000000" w:themeColor="text1"/>
              <w:position w:val="-28"/>
            </w:rPr>
          </w:pPr>
          <w:r>
            <w:rPr>
              <w:noProof/>
              <w:color w:val="000000" w:themeColor="text1"/>
              <w:position w:val="-28"/>
            </w:rPr>
            <w:t>Döküman No: TL-72</w:t>
          </w:r>
        </w:p>
        <w:p w:rsidR="00803B45" w:rsidRPr="00220CE6" w:rsidRDefault="00803B45" w:rsidP="000010C4">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803B45" w:rsidRPr="00220CE6" w:rsidRDefault="00803B45" w:rsidP="000010C4">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803B45" w:rsidRPr="00220CE6" w:rsidRDefault="00803B45" w:rsidP="000010C4">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803B45" w:rsidRPr="00220CE6" w:rsidRDefault="00803B45" w:rsidP="000010C4">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803B45" w:rsidRDefault="00803B45" w:rsidP="000010C4">
          <w:pPr>
            <w:pStyle w:val="stbilgi"/>
          </w:pPr>
          <w:r w:rsidRPr="00220CE6">
            <w:rPr>
              <w:noProof/>
              <w:color w:val="000000" w:themeColor="text1"/>
              <w:position w:val="-28"/>
            </w:rPr>
            <w:t xml:space="preserve">Sayfa No: </w:t>
          </w:r>
          <w:r w:rsidRPr="00220CE6">
            <w:rPr>
              <w:noProof/>
              <w:color w:val="000000" w:themeColor="text1"/>
              <w:position w:val="-28"/>
            </w:rPr>
            <w:fldChar w:fldCharType="begin"/>
          </w:r>
          <w:r w:rsidRPr="00220CE6">
            <w:rPr>
              <w:noProof/>
              <w:color w:val="000000" w:themeColor="text1"/>
              <w:position w:val="-28"/>
            </w:rPr>
            <w:instrText xml:space="preserve"> PAGE </w:instrText>
          </w:r>
          <w:r w:rsidRPr="00220CE6">
            <w:rPr>
              <w:noProof/>
              <w:color w:val="000000" w:themeColor="text1"/>
              <w:position w:val="-28"/>
            </w:rPr>
            <w:fldChar w:fldCharType="separate"/>
          </w:r>
          <w:r w:rsidR="008C0461">
            <w:rPr>
              <w:noProof/>
              <w:color w:val="000000" w:themeColor="text1"/>
              <w:position w:val="-28"/>
            </w:rPr>
            <w:t>1</w:t>
          </w:r>
          <w:r w:rsidRPr="00220CE6">
            <w:rPr>
              <w:noProof/>
              <w:color w:val="000000" w:themeColor="text1"/>
              <w:position w:val="-28"/>
            </w:rPr>
            <w:fldChar w:fldCharType="end"/>
          </w:r>
          <w:r w:rsidRPr="00220CE6">
            <w:rPr>
              <w:noProof/>
              <w:color w:val="000000" w:themeColor="text1"/>
              <w:position w:val="-28"/>
            </w:rPr>
            <w:t xml:space="preserve"> /</w:t>
          </w:r>
          <w:r w:rsidRPr="00220CE6">
            <w:rPr>
              <w:noProof/>
              <w:color w:val="000000" w:themeColor="text1"/>
              <w:position w:val="-28"/>
            </w:rPr>
            <w:fldChar w:fldCharType="begin"/>
          </w:r>
          <w:r w:rsidRPr="00220CE6">
            <w:rPr>
              <w:noProof/>
              <w:color w:val="000000" w:themeColor="text1"/>
              <w:position w:val="-28"/>
            </w:rPr>
            <w:instrText xml:space="preserve"> NUMPAGES </w:instrText>
          </w:r>
          <w:r w:rsidRPr="00220CE6">
            <w:rPr>
              <w:noProof/>
              <w:color w:val="000000" w:themeColor="text1"/>
              <w:position w:val="-28"/>
            </w:rPr>
            <w:fldChar w:fldCharType="separate"/>
          </w:r>
          <w:r w:rsidR="008C0461">
            <w:rPr>
              <w:noProof/>
              <w:color w:val="000000" w:themeColor="text1"/>
              <w:position w:val="-28"/>
            </w:rPr>
            <w:t>1</w:t>
          </w:r>
          <w:r w:rsidRPr="00220CE6">
            <w:rPr>
              <w:noProof/>
              <w:color w:val="000000" w:themeColor="text1"/>
              <w:position w:val="-28"/>
            </w:rPr>
            <w:fldChar w:fldCharType="end"/>
          </w:r>
        </w:p>
      </w:tc>
    </w:tr>
    <w:tr w:rsidR="00803B45" w:rsidTr="000010C4">
      <w:tc>
        <w:tcPr>
          <w:tcW w:w="2127" w:type="dxa"/>
          <w:vMerge/>
        </w:tcPr>
        <w:p w:rsidR="00803B45" w:rsidRDefault="00803B45" w:rsidP="000010C4">
          <w:pPr>
            <w:pStyle w:val="stbilgi"/>
          </w:pPr>
        </w:p>
      </w:tc>
      <w:tc>
        <w:tcPr>
          <w:tcW w:w="5245" w:type="dxa"/>
        </w:tcPr>
        <w:p w:rsidR="00803B45" w:rsidRPr="009C214A" w:rsidRDefault="00803B45" w:rsidP="000010C4">
          <w:pPr>
            <w:pStyle w:val="stbilgi"/>
            <w:jc w:val="center"/>
            <w:rPr>
              <w:sz w:val="40"/>
              <w:szCs w:val="40"/>
            </w:rPr>
          </w:pPr>
          <w:r w:rsidRPr="009C214A">
            <w:rPr>
              <w:b/>
              <w:sz w:val="40"/>
              <w:szCs w:val="40"/>
            </w:rPr>
            <w:t>Yük Asansörü Kullanma Talimatı</w:t>
          </w:r>
        </w:p>
      </w:tc>
      <w:tc>
        <w:tcPr>
          <w:tcW w:w="3402" w:type="dxa"/>
          <w:vMerge/>
        </w:tcPr>
        <w:p w:rsidR="00803B45" w:rsidRDefault="00803B45" w:rsidP="000010C4">
          <w:pPr>
            <w:pStyle w:val="stbilgi"/>
          </w:pPr>
        </w:p>
      </w:tc>
    </w:tr>
  </w:tbl>
  <w:p w:rsidR="00220CE6" w:rsidRDefault="00220C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05403"/>
    <w:multiLevelType w:val="hybridMultilevel"/>
    <w:tmpl w:val="75409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6"/>
    <w:rsid w:val="00004539"/>
    <w:rsid w:val="000540B1"/>
    <w:rsid w:val="001965EF"/>
    <w:rsid w:val="00220CE6"/>
    <w:rsid w:val="00322D0D"/>
    <w:rsid w:val="00626F76"/>
    <w:rsid w:val="00803B45"/>
    <w:rsid w:val="008B1619"/>
    <w:rsid w:val="008C0461"/>
    <w:rsid w:val="009C214A"/>
    <w:rsid w:val="00C361F8"/>
    <w:rsid w:val="00DC1E2B"/>
    <w:rsid w:val="00EF7C75"/>
    <w:rsid w:val="00F6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6B9C-E0E4-4E2C-84CF-248EEF44F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6</cp:revision>
  <cp:lastPrinted>2016-05-14T16:32:00Z</cp:lastPrinted>
  <dcterms:created xsi:type="dcterms:W3CDTF">2016-05-24T11:07:00Z</dcterms:created>
  <dcterms:modified xsi:type="dcterms:W3CDTF">2018-04-25T20:04:00Z</dcterms:modified>
</cp:coreProperties>
</file>