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11" w:rsidRPr="00FB21BE" w:rsidRDefault="00284A11" w:rsidP="00FB21BE">
      <w:pPr>
        <w:pStyle w:val="AralkYok"/>
        <w:tabs>
          <w:tab w:val="left" w:pos="426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FB21BE">
        <w:rPr>
          <w:b/>
          <w:sz w:val="24"/>
          <w:szCs w:val="24"/>
        </w:rPr>
        <w:t>A- ÇALIŞMA ÖNCESİ YAPILACAK OLAN İŞLEMLER;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Pres tezgâhının çalışmaya uygun olup olmadığını kontrol ediniz.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Preste yapacağınız günlük veya belirli baskı aralığındaki yağlama için avadanlıklarınızı hazırlayınız. Tüm kalıplarda her 1000 baskıda kolon ve burçların temizlenmesi ve yağlanması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Çalışma esnasında hareket alanınızı kısıtlayacak veya engelleyecek tüm malzemeleri kaldırınız.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Baskı esnasında işlem yapılacak parça için gerekli şekil ve alan düzenlemenizi yapınız. Parça akışının sizin çalışma alanınızı daraltmamasına dikkat ediniz.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Baskısı yapılacak parçaların için gerekli çalışma alanını düzenleyiniz. Pres tablası üzerine aşırı parça beslemesi yapmayınız.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 xml:space="preserve">Kalıp çalışma şekline göre (pedal veya çift el çift kumanda ) ve kullanılacak parça tutucuları ( maşa </w:t>
      </w:r>
      <w:proofErr w:type="spellStart"/>
      <w:r w:rsidRPr="00FB21BE">
        <w:rPr>
          <w:sz w:val="24"/>
          <w:szCs w:val="24"/>
        </w:rPr>
        <w:t>v.b</w:t>
      </w:r>
      <w:proofErr w:type="spellEnd"/>
      <w:r w:rsidRPr="00FB21BE">
        <w:rPr>
          <w:sz w:val="24"/>
          <w:szCs w:val="24"/>
        </w:rPr>
        <w:t>.) hazırlayınız. Uzun bantlarda çapaklara karşı eldivensiz çalışmayınız.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 xml:space="preserve">Hurda, kabul, </w:t>
      </w:r>
      <w:proofErr w:type="spellStart"/>
      <w:r w:rsidRPr="00FB21BE">
        <w:rPr>
          <w:sz w:val="24"/>
          <w:szCs w:val="24"/>
        </w:rPr>
        <w:t>red</w:t>
      </w:r>
      <w:proofErr w:type="spellEnd"/>
      <w:r w:rsidRPr="00FB21BE">
        <w:rPr>
          <w:sz w:val="24"/>
          <w:szCs w:val="24"/>
        </w:rPr>
        <w:t xml:space="preserve"> kasalarının uygun konumlarını ayarlayınız. Geçiş yollarını kapatmayınız. Başka preslerin çalışma alanına girmeyiniz.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Pres pedalının basılı olmadığından emin olunuz. Mandalı kontrol ediniz.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Pres pedalı basılı ise el ile veya motora hareket vererek turu tamamlatınız.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Kalıp bağlantılarının uygun olup olmadığını kontrol ediniz.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Oturduğunuz oturağı uygun şekilde ayarlayınız.</w:t>
      </w:r>
    </w:p>
    <w:p w:rsidR="00284A11" w:rsidRPr="00FB21BE" w:rsidRDefault="00284A11" w:rsidP="00FB21BE">
      <w:pPr>
        <w:pStyle w:val="AralkYok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Tüm hazırlık aşamalarının uygun olduğunu kontrol ederek tezgâhınızı çalıştırınız. Baskıya başlayınız.</w:t>
      </w:r>
    </w:p>
    <w:p w:rsidR="00284A11" w:rsidRPr="00FB21BE" w:rsidRDefault="00284A11" w:rsidP="00FB21BE">
      <w:pPr>
        <w:pStyle w:val="AralkYok"/>
        <w:tabs>
          <w:tab w:val="left" w:pos="426"/>
        </w:tabs>
        <w:spacing w:line="240" w:lineRule="auto"/>
        <w:rPr>
          <w:b/>
          <w:sz w:val="24"/>
          <w:szCs w:val="24"/>
        </w:rPr>
      </w:pPr>
      <w:r w:rsidRPr="00FB21BE">
        <w:rPr>
          <w:b/>
          <w:sz w:val="24"/>
          <w:szCs w:val="24"/>
        </w:rPr>
        <w:t>B- ÇALIŞMA SIRASINDA DİKKAT EDİLECEK OLAN HUSUSLAR;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Tezgâhta yapacağınız baskı işleminde neyi nasıl yapacağınızı bilerek başlayınız.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İşlemde ilk baskıda parçanızın kalite kontrolünü yaptırınız. Tezgâhın çalışmasında herhangi bir anormallik yoksa uygun çalışma pozisyonuna geçiniz.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Baskı esnasında kalıbın ( açık veya kapalı ) yapısına göre uygun çalışma şeklinin dışına asla çıkmayınız.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Her 1000 baskıda kolon ve burç temizliği ve yağlanmasında tezgâhı kapatınız.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Kasalarda biriken parçaları sizin çalışmanıza engel olacak şekilde biriktirmeyiniz.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Hurda kasalarındaki sacların köşelerinin keskin olduğunu bilerek davranınız.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Paydos için verilen sürelerde tezgâh kapatmadan ve tezgâh durmadan yanından ayrılmayınız.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Gereksiz kişilerin tezgâhınıza müdahalesine asla izin vermeyiniz.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Dikkatiniz dağıtacak her türlü davranıştan sakınınız.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Başka çalışanlarında dikkatini dağıtacak davranışlardan kaçınınız.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Herhangi olağan dışı durumda amirinize haber veriniz ve tezgâhı kapatınız. Asla bir başkasının görevi olan işi tamir etmeye kesinlikle çalışmayınız.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Tezgâh çalışırken çalışma konumu harici davranışlarda bulunmayınız.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İşlem devam ederken iş parçasına gözlemleyiniz ve asla çevrenizle ilgilenmeyiniz.</w:t>
      </w:r>
    </w:p>
    <w:p w:rsidR="00284A11" w:rsidRPr="00FB21BE" w:rsidRDefault="00284A11" w:rsidP="00FB21BE">
      <w:pPr>
        <w:pStyle w:val="AralkYok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İşleminizin bittiğinizden emin iseniz tezgâh şalterini kapatınız. Kalıbı temizleyiniz</w:t>
      </w:r>
    </w:p>
    <w:p w:rsidR="00284A11" w:rsidRPr="00FB21BE" w:rsidRDefault="00284A11" w:rsidP="00FB21BE">
      <w:pPr>
        <w:pStyle w:val="AralkYok"/>
        <w:tabs>
          <w:tab w:val="left" w:pos="426"/>
        </w:tabs>
        <w:spacing w:line="240" w:lineRule="auto"/>
        <w:rPr>
          <w:b/>
          <w:sz w:val="24"/>
          <w:szCs w:val="24"/>
        </w:rPr>
      </w:pPr>
      <w:r w:rsidRPr="00FB21BE">
        <w:rPr>
          <w:b/>
          <w:sz w:val="24"/>
          <w:szCs w:val="24"/>
        </w:rPr>
        <w:t>C- ÇALIŞMA SONRASI YAPILACAK İŞLEMLER;</w:t>
      </w:r>
    </w:p>
    <w:p w:rsidR="00284A11" w:rsidRPr="00FB21BE" w:rsidRDefault="00284A11" w:rsidP="00FB21BE">
      <w:pPr>
        <w:pStyle w:val="AralkYok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Tezgâhı durdurunuz. Amirinize bildiriniz.</w:t>
      </w:r>
      <w:r w:rsidR="00593CD3" w:rsidRPr="00FB21BE">
        <w:rPr>
          <w:sz w:val="24"/>
          <w:szCs w:val="24"/>
        </w:rPr>
        <w:t xml:space="preserve"> </w:t>
      </w:r>
      <w:r w:rsidRPr="00FB21BE">
        <w:rPr>
          <w:sz w:val="24"/>
          <w:szCs w:val="24"/>
        </w:rPr>
        <w:t>Tezgâh çevresini düzenleyiniz.</w:t>
      </w:r>
    </w:p>
    <w:p w:rsidR="00284A11" w:rsidRPr="00FB21BE" w:rsidRDefault="00284A11" w:rsidP="00FB21BE">
      <w:pPr>
        <w:pStyle w:val="AralkYok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Pres tezgâhınızın yağlanması gereken kısımları yağlayınız.</w:t>
      </w:r>
    </w:p>
    <w:p w:rsidR="00284A11" w:rsidRPr="00FB21BE" w:rsidRDefault="00284A11" w:rsidP="00FB21BE">
      <w:pPr>
        <w:pStyle w:val="AralkYok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Kalıp bağlama operatörünü bilgilendiriniz. Kalıp ile ilgili çalışma araç gereçlerini teslim ediniz.</w:t>
      </w:r>
    </w:p>
    <w:p w:rsidR="00220CE6" w:rsidRPr="00FB21BE" w:rsidRDefault="00284A11" w:rsidP="00FB21BE">
      <w:pPr>
        <w:pStyle w:val="AralkYok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B21BE">
        <w:rPr>
          <w:sz w:val="24"/>
          <w:szCs w:val="24"/>
        </w:rPr>
        <w:t>Çalışmanız sonuçlanmış ise atölyeyi terk etme durumunda ana şalteri kapatmayı unutmayınız.</w:t>
      </w: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Tight wrapText="bothSides">
                  <wp:wrapPolygon edited="0">
                    <wp:start x="2218" y="766"/>
                    <wp:lineTo x="2218" y="20824"/>
                    <wp:lineTo x="19012" y="20824"/>
                    <wp:lineTo x="19012" y="766"/>
                    <wp:lineTo x="2218" y="766"/>
                  </wp:wrapPolygon>
                </wp:wrapTight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22D0D" w:rsidRPr="00220CE6" w:rsidSect="00FB21BE">
      <w:headerReference w:type="default" r:id="rId9"/>
      <w:footerReference w:type="default" r:id="rId10"/>
      <w:pgSz w:w="11906" w:h="16838"/>
      <w:pgMar w:top="2552" w:right="991" w:bottom="568" w:left="993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37" w:rsidRDefault="00D05C37" w:rsidP="00220CE6">
      <w:r>
        <w:separator/>
      </w:r>
    </w:p>
  </w:endnote>
  <w:endnote w:type="continuationSeparator" w:id="0">
    <w:p w:rsidR="00D05C37" w:rsidRDefault="00D05C37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890C14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37" w:rsidRDefault="00D05C37" w:rsidP="00220CE6">
      <w:r>
        <w:separator/>
      </w:r>
    </w:p>
  </w:footnote>
  <w:footnote w:type="continuationSeparator" w:id="0">
    <w:p w:rsidR="00D05C37" w:rsidRDefault="00D05C37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BE" w:rsidRDefault="00FB21BE">
    <w:pPr>
      <w:pStyle w:val="stbilgi"/>
    </w:pPr>
  </w:p>
  <w:p w:rsidR="00FB21BE" w:rsidRDefault="00FB21BE">
    <w:pPr>
      <w:pStyle w:val="stbilgi"/>
    </w:pPr>
  </w:p>
  <w:p w:rsidR="00FB21BE" w:rsidRDefault="00FB21BE">
    <w:pPr>
      <w:pStyle w:val="stbilgi"/>
    </w:pPr>
  </w:p>
  <w:tbl>
    <w:tblPr>
      <w:tblStyle w:val="TabloKlavuzu"/>
      <w:tblpPr w:leftFromText="141" w:rightFromText="141" w:vertAnchor="text" w:horzAnchor="margin" w:tblpXSpec="center" w:tblpY="-920"/>
      <w:tblW w:w="10773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418"/>
      <w:gridCol w:w="4984"/>
      <w:gridCol w:w="3371"/>
    </w:tblGrid>
    <w:tr w:rsidR="00FB21BE" w:rsidTr="00E20B92">
      <w:tc>
        <w:tcPr>
          <w:tcW w:w="2418" w:type="dxa"/>
          <w:vMerge w:val="restart"/>
        </w:tcPr>
        <w:p w:rsidR="00FB21BE" w:rsidRDefault="00FB21BE" w:rsidP="00E20B92">
          <w:pPr>
            <w:pStyle w:val="stbilgi"/>
          </w:pPr>
        </w:p>
      </w:tc>
      <w:tc>
        <w:tcPr>
          <w:tcW w:w="4984" w:type="dxa"/>
        </w:tcPr>
        <w:p w:rsidR="00FB21BE" w:rsidRDefault="00FB21BE" w:rsidP="00E20B92">
          <w:pPr>
            <w:pStyle w:val="stbilgi"/>
            <w:jc w:val="center"/>
            <w:rPr>
              <w:b/>
            </w:rPr>
          </w:pPr>
        </w:p>
        <w:p w:rsidR="00890C14" w:rsidRDefault="00890C14" w:rsidP="00890C1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890C14" w:rsidRDefault="00890C14" w:rsidP="00890C14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FB21BE" w:rsidRDefault="00890C14" w:rsidP="00890C14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371" w:type="dxa"/>
          <w:vMerge w:val="restart"/>
        </w:tcPr>
        <w:p w:rsidR="00FB21BE" w:rsidRPr="00220CE6" w:rsidRDefault="00FB21BE" w:rsidP="00E20B9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TL-19</w:t>
          </w:r>
        </w:p>
        <w:p w:rsidR="00FB21BE" w:rsidRPr="00220CE6" w:rsidRDefault="00FB21BE" w:rsidP="00E20B9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FB21BE" w:rsidRPr="00220CE6" w:rsidRDefault="00FB21BE" w:rsidP="00E20B9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FB21BE" w:rsidRPr="00220CE6" w:rsidRDefault="00FB21BE" w:rsidP="00E20B9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FB21BE" w:rsidRPr="00220CE6" w:rsidRDefault="00FB21BE" w:rsidP="00E20B9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FB21BE" w:rsidRDefault="00FB21BE" w:rsidP="00E20B92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890C1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890C14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FB21BE" w:rsidTr="00E20B92">
      <w:tc>
        <w:tcPr>
          <w:tcW w:w="2418" w:type="dxa"/>
          <w:vMerge/>
        </w:tcPr>
        <w:p w:rsidR="00FB21BE" w:rsidRDefault="00FB21BE" w:rsidP="00E20B92">
          <w:pPr>
            <w:pStyle w:val="stbilgi"/>
          </w:pPr>
        </w:p>
      </w:tc>
      <w:tc>
        <w:tcPr>
          <w:tcW w:w="4984" w:type="dxa"/>
        </w:tcPr>
        <w:p w:rsidR="00FB21BE" w:rsidRDefault="00FB21BE" w:rsidP="00E20B92">
          <w:pPr>
            <w:pStyle w:val="stbilgi"/>
            <w:jc w:val="center"/>
          </w:pPr>
          <w:r>
            <w:rPr>
              <w:b/>
              <w:sz w:val="40"/>
              <w:szCs w:val="40"/>
            </w:rPr>
            <w:t>Eksantrik Pres Makin</w:t>
          </w:r>
          <w:r w:rsidRPr="00F61659">
            <w:rPr>
              <w:b/>
              <w:sz w:val="40"/>
              <w:szCs w:val="40"/>
            </w:rPr>
            <w:t>esi Kullanma Talimatı</w:t>
          </w:r>
        </w:p>
      </w:tc>
      <w:tc>
        <w:tcPr>
          <w:tcW w:w="3371" w:type="dxa"/>
          <w:vMerge/>
        </w:tcPr>
        <w:p w:rsidR="00FB21BE" w:rsidRDefault="00FB21BE" w:rsidP="00E20B92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4A2"/>
    <w:multiLevelType w:val="hybridMultilevel"/>
    <w:tmpl w:val="DFBCF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7A4D0D0">
      <w:start w:val="1"/>
      <w:numFmt w:val="decimal"/>
      <w:lvlText w:val="%2-"/>
      <w:lvlJc w:val="left"/>
      <w:pPr>
        <w:ind w:left="1495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2E5B"/>
    <w:multiLevelType w:val="hybridMultilevel"/>
    <w:tmpl w:val="750CE048"/>
    <w:lvl w:ilvl="0" w:tplc="ADA2BB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54B84"/>
    <w:multiLevelType w:val="hybridMultilevel"/>
    <w:tmpl w:val="9164570E"/>
    <w:lvl w:ilvl="0" w:tplc="A7A4D0D0">
      <w:start w:val="1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284A11"/>
    <w:rsid w:val="00322D0D"/>
    <w:rsid w:val="00593CD3"/>
    <w:rsid w:val="00890C14"/>
    <w:rsid w:val="00D05C37"/>
    <w:rsid w:val="00DC1E2B"/>
    <w:rsid w:val="00EF7C75"/>
    <w:rsid w:val="00F61659"/>
    <w:rsid w:val="00F64872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E11F-5453-42AA-AD04-86D9901B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6</cp:revision>
  <cp:lastPrinted>2016-05-14T16:32:00Z</cp:lastPrinted>
  <dcterms:created xsi:type="dcterms:W3CDTF">2016-05-16T08:52:00Z</dcterms:created>
  <dcterms:modified xsi:type="dcterms:W3CDTF">2018-04-25T19:38:00Z</dcterms:modified>
</cp:coreProperties>
</file>